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5B5A" w:rsidRPr="00705B5A" w:rsidRDefault="00705B5A" w:rsidP="00705B5A">
      <w:pPr>
        <w:spacing w:after="200" w:line="480" w:lineRule="auto"/>
        <w:jc w:val="center"/>
        <w:rPr>
          <w:rFonts w:ascii="Times New Roman" w:eastAsia="Calibri" w:hAnsi="Times New Roman" w:cs="Times New Roman"/>
          <w:sz w:val="24"/>
          <w:szCs w:val="24"/>
        </w:rPr>
      </w:pPr>
    </w:p>
    <w:p w:rsidR="00705B5A" w:rsidRPr="00705B5A" w:rsidRDefault="00705B5A" w:rsidP="00705B5A">
      <w:pPr>
        <w:spacing w:after="200" w:line="480" w:lineRule="auto"/>
        <w:jc w:val="center"/>
        <w:rPr>
          <w:rFonts w:ascii="Times New Roman" w:eastAsia="Calibri" w:hAnsi="Times New Roman" w:cs="Times New Roman"/>
          <w:sz w:val="24"/>
          <w:szCs w:val="24"/>
        </w:rPr>
      </w:pPr>
    </w:p>
    <w:p w:rsidR="00705B5A" w:rsidRPr="00705B5A" w:rsidRDefault="00705B5A" w:rsidP="00705B5A">
      <w:pPr>
        <w:tabs>
          <w:tab w:val="left" w:pos="7695"/>
        </w:tabs>
        <w:spacing w:after="200" w:line="480" w:lineRule="auto"/>
        <w:rPr>
          <w:rFonts w:ascii="Times New Roman" w:eastAsia="Calibri" w:hAnsi="Times New Roman" w:cs="Times New Roman"/>
          <w:sz w:val="24"/>
          <w:szCs w:val="24"/>
        </w:rPr>
      </w:pPr>
      <w:r w:rsidRPr="00705B5A">
        <w:rPr>
          <w:rFonts w:ascii="Times New Roman" w:eastAsia="Calibri" w:hAnsi="Times New Roman" w:cs="Times New Roman"/>
          <w:sz w:val="24"/>
          <w:szCs w:val="24"/>
        </w:rPr>
        <w:tab/>
      </w:r>
    </w:p>
    <w:p w:rsidR="00705B5A" w:rsidRPr="00705B5A" w:rsidRDefault="00705B5A" w:rsidP="00705B5A">
      <w:pPr>
        <w:spacing w:after="200" w:line="480" w:lineRule="auto"/>
        <w:jc w:val="center"/>
        <w:rPr>
          <w:rFonts w:ascii="Times New Roman" w:eastAsia="Calibri" w:hAnsi="Times New Roman" w:cs="Times New Roman"/>
          <w:sz w:val="24"/>
          <w:szCs w:val="24"/>
        </w:rPr>
      </w:pPr>
    </w:p>
    <w:p w:rsidR="00705B5A" w:rsidRPr="00705B5A" w:rsidRDefault="00705B5A" w:rsidP="00705B5A">
      <w:pPr>
        <w:spacing w:after="200" w:line="480" w:lineRule="auto"/>
        <w:jc w:val="center"/>
        <w:rPr>
          <w:rFonts w:ascii="Times New Roman" w:eastAsia="Calibri" w:hAnsi="Times New Roman" w:cs="Times New Roman"/>
          <w:sz w:val="24"/>
          <w:szCs w:val="24"/>
        </w:rPr>
      </w:pPr>
    </w:p>
    <w:p w:rsidR="00705B5A" w:rsidRPr="00705B5A" w:rsidRDefault="00705B5A" w:rsidP="00705B5A">
      <w:pPr>
        <w:spacing w:after="200" w:line="480" w:lineRule="auto"/>
        <w:jc w:val="center"/>
        <w:rPr>
          <w:rFonts w:ascii="Times New Roman" w:eastAsia="Calibri" w:hAnsi="Times New Roman" w:cs="Times New Roman"/>
          <w:sz w:val="24"/>
          <w:szCs w:val="24"/>
        </w:rPr>
      </w:pPr>
    </w:p>
    <w:p w:rsidR="00705B5A" w:rsidRPr="00705B5A" w:rsidRDefault="00705B5A" w:rsidP="00705B5A">
      <w:pPr>
        <w:spacing w:after="200" w:line="480" w:lineRule="auto"/>
        <w:jc w:val="center"/>
        <w:rPr>
          <w:rFonts w:ascii="Times New Roman" w:eastAsia="Calibri" w:hAnsi="Times New Roman" w:cs="Times New Roman"/>
          <w:sz w:val="24"/>
          <w:szCs w:val="24"/>
        </w:rPr>
      </w:pPr>
    </w:p>
    <w:p w:rsidR="00705B5A" w:rsidRPr="00705B5A" w:rsidRDefault="008675EF" w:rsidP="00705B5A">
      <w:pPr>
        <w:spacing w:before="240" w:after="200" w:line="480" w:lineRule="auto"/>
        <w:jc w:val="center"/>
        <w:rPr>
          <w:rFonts w:ascii="Times New Roman" w:eastAsia="Calibri" w:hAnsi="Times New Roman" w:cs="Times New Roman"/>
          <w:sz w:val="24"/>
          <w:szCs w:val="24"/>
        </w:rPr>
      </w:pPr>
      <w:r w:rsidRPr="008675EF">
        <w:rPr>
          <w:rFonts w:ascii="Times New Roman" w:eastAsia="Calibri" w:hAnsi="Times New Roman" w:cs="Times New Roman"/>
          <w:sz w:val="24"/>
          <w:szCs w:val="24"/>
        </w:rPr>
        <w:t>Gender Socialization</w:t>
      </w:r>
    </w:p>
    <w:p w:rsidR="00705B5A" w:rsidRPr="00705B5A" w:rsidRDefault="00705B5A" w:rsidP="00705B5A">
      <w:pPr>
        <w:spacing w:before="240" w:after="200" w:line="480" w:lineRule="auto"/>
        <w:jc w:val="center"/>
        <w:rPr>
          <w:rFonts w:ascii="Times New Roman" w:eastAsia="Calibri" w:hAnsi="Times New Roman" w:cs="Times New Roman"/>
          <w:sz w:val="24"/>
          <w:szCs w:val="24"/>
        </w:rPr>
      </w:pPr>
      <w:r w:rsidRPr="00705B5A">
        <w:rPr>
          <w:rFonts w:ascii="Times New Roman" w:eastAsia="Calibri" w:hAnsi="Times New Roman" w:cs="Times New Roman"/>
          <w:sz w:val="24"/>
          <w:szCs w:val="24"/>
        </w:rPr>
        <w:t>Student’s Name</w:t>
      </w:r>
    </w:p>
    <w:p w:rsidR="00705B5A" w:rsidRPr="00705B5A" w:rsidRDefault="00705B5A" w:rsidP="00705B5A">
      <w:pPr>
        <w:spacing w:before="240" w:after="200" w:line="480" w:lineRule="auto"/>
        <w:jc w:val="center"/>
        <w:rPr>
          <w:rFonts w:ascii="Times New Roman" w:eastAsia="Calibri" w:hAnsi="Times New Roman" w:cs="Times New Roman"/>
          <w:sz w:val="24"/>
          <w:szCs w:val="24"/>
        </w:rPr>
      </w:pPr>
      <w:r w:rsidRPr="00705B5A">
        <w:rPr>
          <w:rFonts w:ascii="Times New Roman" w:eastAsia="Calibri" w:hAnsi="Times New Roman" w:cs="Times New Roman"/>
          <w:sz w:val="24"/>
          <w:szCs w:val="24"/>
        </w:rPr>
        <w:t xml:space="preserve">Institutional Affiliation </w:t>
      </w:r>
    </w:p>
    <w:p w:rsidR="00705B5A" w:rsidRPr="00705B5A" w:rsidRDefault="00705B5A" w:rsidP="00705B5A">
      <w:pPr>
        <w:spacing w:after="200" w:line="480" w:lineRule="auto"/>
        <w:jc w:val="center"/>
        <w:rPr>
          <w:rFonts w:ascii="Times New Roman" w:eastAsia="Calibri" w:hAnsi="Times New Roman" w:cs="Times New Roman"/>
          <w:sz w:val="24"/>
          <w:szCs w:val="24"/>
        </w:rPr>
      </w:pPr>
    </w:p>
    <w:p w:rsidR="00705B5A" w:rsidRPr="00705B5A" w:rsidRDefault="00705B5A" w:rsidP="00705B5A">
      <w:pPr>
        <w:spacing w:after="200" w:line="480" w:lineRule="auto"/>
        <w:jc w:val="center"/>
        <w:rPr>
          <w:rFonts w:ascii="Times New Roman" w:eastAsia="Calibri" w:hAnsi="Times New Roman" w:cs="Times New Roman"/>
          <w:sz w:val="24"/>
          <w:szCs w:val="24"/>
        </w:rPr>
      </w:pPr>
    </w:p>
    <w:p w:rsidR="00705B5A" w:rsidRPr="00705B5A" w:rsidRDefault="00705B5A" w:rsidP="00705B5A">
      <w:pPr>
        <w:spacing w:after="200" w:line="480" w:lineRule="auto"/>
        <w:jc w:val="center"/>
        <w:rPr>
          <w:rFonts w:ascii="Times New Roman" w:eastAsia="Calibri" w:hAnsi="Times New Roman" w:cs="Times New Roman"/>
          <w:sz w:val="24"/>
          <w:szCs w:val="24"/>
        </w:rPr>
      </w:pPr>
    </w:p>
    <w:p w:rsidR="00705B5A" w:rsidRPr="00705B5A" w:rsidRDefault="00705B5A" w:rsidP="00705B5A">
      <w:pPr>
        <w:spacing w:after="200" w:line="480" w:lineRule="auto"/>
        <w:jc w:val="center"/>
        <w:rPr>
          <w:rFonts w:ascii="Times New Roman" w:eastAsia="Calibri" w:hAnsi="Times New Roman" w:cs="Times New Roman"/>
          <w:sz w:val="24"/>
          <w:szCs w:val="24"/>
        </w:rPr>
      </w:pPr>
    </w:p>
    <w:p w:rsidR="00705B5A" w:rsidRPr="00705B5A" w:rsidRDefault="00705B5A" w:rsidP="00705B5A">
      <w:pPr>
        <w:spacing w:after="200" w:line="480" w:lineRule="auto"/>
        <w:jc w:val="center"/>
        <w:rPr>
          <w:rFonts w:ascii="Times New Roman" w:eastAsia="Calibri" w:hAnsi="Times New Roman" w:cs="Times New Roman"/>
          <w:sz w:val="24"/>
          <w:szCs w:val="24"/>
        </w:rPr>
      </w:pPr>
    </w:p>
    <w:p w:rsidR="00705B5A" w:rsidRPr="00705B5A" w:rsidRDefault="00705B5A" w:rsidP="00705B5A">
      <w:pPr>
        <w:spacing w:after="200" w:line="480" w:lineRule="auto"/>
        <w:jc w:val="center"/>
        <w:rPr>
          <w:rFonts w:ascii="Times New Roman" w:eastAsia="Calibri" w:hAnsi="Times New Roman" w:cs="Times New Roman"/>
          <w:sz w:val="24"/>
          <w:szCs w:val="24"/>
        </w:rPr>
      </w:pPr>
    </w:p>
    <w:p w:rsidR="00705B5A" w:rsidRPr="00705B5A" w:rsidRDefault="00705B5A" w:rsidP="00705B5A">
      <w:pPr>
        <w:spacing w:line="480" w:lineRule="auto"/>
        <w:rPr>
          <w:rFonts w:ascii="Times New Roman" w:hAnsi="Times New Roman" w:cs="Times New Roman"/>
          <w:b/>
          <w:sz w:val="24"/>
          <w:szCs w:val="24"/>
        </w:rPr>
      </w:pPr>
      <w:r w:rsidRPr="00705B5A">
        <w:rPr>
          <w:rFonts w:ascii="Times New Roman" w:hAnsi="Times New Roman" w:cs="Times New Roman"/>
          <w:b/>
          <w:sz w:val="24"/>
          <w:szCs w:val="24"/>
        </w:rPr>
        <w:br w:type="page"/>
      </w:r>
    </w:p>
    <w:p w:rsidR="008675EF" w:rsidRPr="008675EF" w:rsidRDefault="008675EF" w:rsidP="008675EF">
      <w:pPr>
        <w:spacing w:line="480" w:lineRule="auto"/>
        <w:jc w:val="center"/>
        <w:rPr>
          <w:rFonts w:ascii="Times New Roman" w:hAnsi="Times New Roman" w:cs="Times New Roman"/>
          <w:sz w:val="24"/>
          <w:szCs w:val="24"/>
        </w:rPr>
      </w:pPr>
      <w:r w:rsidRPr="008675EF">
        <w:rPr>
          <w:rFonts w:ascii="Times New Roman" w:hAnsi="Times New Roman" w:cs="Times New Roman"/>
          <w:sz w:val="24"/>
          <w:szCs w:val="24"/>
        </w:rPr>
        <w:lastRenderedPageBreak/>
        <w:t>Gender Socialization</w:t>
      </w:r>
    </w:p>
    <w:p w:rsidR="008675EF" w:rsidRPr="008675EF" w:rsidRDefault="008675EF" w:rsidP="008675EF">
      <w:pPr>
        <w:spacing w:line="480" w:lineRule="auto"/>
        <w:ind w:firstLine="720"/>
        <w:rPr>
          <w:rFonts w:ascii="Times New Roman" w:hAnsi="Times New Roman" w:cs="Times New Roman"/>
          <w:sz w:val="24"/>
          <w:szCs w:val="24"/>
        </w:rPr>
      </w:pPr>
      <w:r w:rsidRPr="008675EF">
        <w:rPr>
          <w:rFonts w:ascii="Times New Roman" w:hAnsi="Times New Roman" w:cs="Times New Roman"/>
          <w:sz w:val="24"/>
          <w:szCs w:val="24"/>
        </w:rPr>
        <w:t>There is a varying expectations from institutions of family, school, and the media regarding how boys and girls should portray their attitude and behaviors. Gender Socialization is critical in influencing gender inequalities in workplaces, schools at all stages in life. Gender socialization is a practice in which young people are taught about social expectations from their environment, attitudes and how to behave under certain circumstances.</w:t>
      </w:r>
    </w:p>
    <w:p w:rsidR="008675EF" w:rsidRPr="008675EF" w:rsidRDefault="008675EF" w:rsidP="008675EF">
      <w:pPr>
        <w:spacing w:line="480" w:lineRule="auto"/>
        <w:ind w:firstLine="720"/>
        <w:rPr>
          <w:rFonts w:ascii="Times New Roman" w:hAnsi="Times New Roman" w:cs="Times New Roman"/>
          <w:sz w:val="24"/>
          <w:szCs w:val="24"/>
        </w:rPr>
      </w:pPr>
      <w:r w:rsidRPr="008675EF">
        <w:rPr>
          <w:rFonts w:ascii="Times New Roman" w:hAnsi="Times New Roman" w:cs="Times New Roman"/>
          <w:sz w:val="24"/>
          <w:szCs w:val="24"/>
        </w:rPr>
        <w:t>Media impacts greatly on children and teenager’s lives. A good example is that Televisions portray a perfect body figure for a girl to be tall and thin. This could even contribute to eating disorders among young girls who feel pressured to be perfect. Some programs in the media also teach norms that people are expected to follow. Social media platforms additionally contribute to unhealthy l</w:t>
      </w:r>
      <w:r>
        <w:rPr>
          <w:rFonts w:ascii="Times New Roman" w:hAnsi="Times New Roman" w:cs="Times New Roman"/>
          <w:sz w:val="24"/>
          <w:szCs w:val="24"/>
        </w:rPr>
        <w:t>ife competition among the youth (Lawson et al., 2015)</w:t>
      </w:r>
    </w:p>
    <w:p w:rsidR="008675EF" w:rsidRPr="008675EF" w:rsidRDefault="008675EF" w:rsidP="008675EF">
      <w:pPr>
        <w:spacing w:line="480" w:lineRule="auto"/>
        <w:ind w:firstLine="720"/>
        <w:rPr>
          <w:rFonts w:ascii="Times New Roman" w:hAnsi="Times New Roman" w:cs="Times New Roman"/>
          <w:sz w:val="24"/>
          <w:szCs w:val="24"/>
        </w:rPr>
      </w:pPr>
      <w:r w:rsidRPr="008675EF">
        <w:rPr>
          <w:rFonts w:ascii="Times New Roman" w:hAnsi="Times New Roman" w:cs="Times New Roman"/>
          <w:sz w:val="24"/>
          <w:szCs w:val="24"/>
        </w:rPr>
        <w:t xml:space="preserve">In schools, for example, Gender-Neutral Bathrooms issue and LGBT rights have been an issue for a long time experienced even in public schools and throughout the states for a long time (Porta et al., 2017). The Fourth Circuit at some point had to rule on the issue of the Grimm versus Gloucester Country School Board case that involved a boy’s freedom of using the boys’ bathroom. Gavin Grimm was a transgender boy aged sixteen and suffered from gender dysphoria. During the treatment, the therapist recommended that Grimm needed to live I according to his identity by all means possible to ensure smooth recovery from the disorder which would include him using the most appropriate bathroom. Previously, Grimm was permitted to use the boys’ bathroom which raised an issue when some parents began to raise complains. The institution held various meetings regarding the issue as well as debates. A policy was then issued that from then henceforth the restrooms and locker rooms in the school would be limited to the students according to their biological genders and those who presented serious </w:t>
      </w:r>
      <w:r w:rsidRPr="008675EF">
        <w:rPr>
          <w:rFonts w:ascii="Times New Roman" w:hAnsi="Times New Roman" w:cs="Times New Roman"/>
          <w:sz w:val="24"/>
          <w:szCs w:val="24"/>
        </w:rPr>
        <w:lastRenderedPageBreak/>
        <w:t>cases of gender identity issues would have to use the alternative private facilities. Grimm identified as a male but had not undergone sex reassignment surgery at the time, so the policy grouped him as female. The institution gave an alternative of a gender-neutral restroom serving as the girl’s bathroom alternative which Grimm or anybody else could use without limitations of gender. Consequently, the ACLU presented a lawsuit against the institution on behalf of Grimm claiming that its policy was against the Title IX regarding the 1972 Educational Amendments Act by discriminating students by sex in the schools getting federal funding. They stated that Grimm is allowed to use the boy’s restroom and also be allowed a preliminary injunction for using it as the case continued in the court</w:t>
      </w:r>
      <w:r>
        <w:rPr>
          <w:rFonts w:ascii="Times New Roman" w:hAnsi="Times New Roman" w:cs="Times New Roman"/>
          <w:sz w:val="24"/>
          <w:szCs w:val="24"/>
        </w:rPr>
        <w:t xml:space="preserve"> </w:t>
      </w:r>
      <w:r w:rsidRPr="008675EF">
        <w:rPr>
          <w:rFonts w:ascii="Times New Roman" w:hAnsi="Times New Roman" w:cs="Times New Roman"/>
          <w:sz w:val="24"/>
          <w:szCs w:val="24"/>
        </w:rPr>
        <w:t>(Philips, 2017)</w:t>
      </w:r>
      <w:r w:rsidRPr="008675EF">
        <w:rPr>
          <w:rFonts w:ascii="Times New Roman" w:hAnsi="Times New Roman" w:cs="Times New Roman"/>
          <w:sz w:val="24"/>
          <w:szCs w:val="24"/>
        </w:rPr>
        <w:t>.</w:t>
      </w:r>
    </w:p>
    <w:p w:rsidR="008675EF" w:rsidRPr="008675EF" w:rsidRDefault="008675EF" w:rsidP="008675EF">
      <w:pPr>
        <w:spacing w:line="480" w:lineRule="auto"/>
        <w:ind w:firstLine="720"/>
        <w:rPr>
          <w:rFonts w:ascii="Times New Roman" w:hAnsi="Times New Roman" w:cs="Times New Roman"/>
          <w:sz w:val="24"/>
          <w:szCs w:val="24"/>
        </w:rPr>
      </w:pPr>
      <w:r w:rsidRPr="008675EF">
        <w:rPr>
          <w:rFonts w:ascii="Times New Roman" w:hAnsi="Times New Roman" w:cs="Times New Roman"/>
          <w:sz w:val="24"/>
          <w:szCs w:val="24"/>
        </w:rPr>
        <w:t>Gender norms are initialized in a child from the family setup. Certain colors like pink are preferred for items and clothes bought for baby girls while blue is mainly for boys. Boys are also given different types of toys like cars while girls get dolls. Also when people describe little girls they prefer using their appearance as opposed to little boys where they use their abilities and activities</w:t>
      </w:r>
      <w:r>
        <w:rPr>
          <w:rFonts w:ascii="Times New Roman" w:hAnsi="Times New Roman" w:cs="Times New Roman"/>
          <w:sz w:val="24"/>
          <w:szCs w:val="24"/>
        </w:rPr>
        <w:t xml:space="preserve"> (Merla, 2019)</w:t>
      </w:r>
      <w:r w:rsidRPr="008675EF">
        <w:rPr>
          <w:rFonts w:ascii="Times New Roman" w:hAnsi="Times New Roman" w:cs="Times New Roman"/>
          <w:sz w:val="24"/>
          <w:szCs w:val="24"/>
        </w:rPr>
        <w:t>.</w:t>
      </w:r>
    </w:p>
    <w:p w:rsidR="008675EF" w:rsidRDefault="008675EF" w:rsidP="008675EF">
      <w:pPr>
        <w:spacing w:line="480" w:lineRule="auto"/>
        <w:ind w:firstLine="720"/>
        <w:rPr>
          <w:rFonts w:ascii="Times New Roman" w:hAnsi="Times New Roman" w:cs="Times New Roman"/>
          <w:sz w:val="24"/>
          <w:szCs w:val="24"/>
        </w:rPr>
      </w:pPr>
      <w:r w:rsidRPr="008675EF">
        <w:rPr>
          <w:rFonts w:ascii="Times New Roman" w:hAnsi="Times New Roman" w:cs="Times New Roman"/>
          <w:sz w:val="24"/>
          <w:szCs w:val="24"/>
        </w:rPr>
        <w:t>In conclusion, gender socialization affects children and teenagers more compared to the intensity in adults. Media exposure, family as well as schools are the main institutions that contribute to gender socialization among young people. The issue of moral and privacy restrictions in the restrooms give light to the existing problems and sensibilities to that gender socialization can have. The concerns for privacy erosions at the present times continue to be lamented globally.</w:t>
      </w:r>
    </w:p>
    <w:p w:rsidR="008675EF" w:rsidRDefault="008675EF">
      <w:pPr>
        <w:rPr>
          <w:rFonts w:ascii="Times New Roman" w:hAnsi="Times New Roman" w:cs="Times New Roman"/>
          <w:sz w:val="24"/>
          <w:szCs w:val="24"/>
        </w:rPr>
      </w:pPr>
      <w:r>
        <w:rPr>
          <w:rFonts w:ascii="Times New Roman" w:hAnsi="Times New Roman" w:cs="Times New Roman"/>
          <w:sz w:val="24"/>
          <w:szCs w:val="24"/>
        </w:rPr>
        <w:br w:type="page"/>
      </w:r>
    </w:p>
    <w:p w:rsidR="008675EF" w:rsidRPr="008675EF" w:rsidRDefault="008675EF" w:rsidP="008675EF">
      <w:pPr>
        <w:spacing w:line="480" w:lineRule="auto"/>
        <w:jc w:val="center"/>
        <w:rPr>
          <w:rFonts w:ascii="Times New Roman" w:hAnsi="Times New Roman" w:cs="Times New Roman"/>
          <w:b/>
          <w:sz w:val="24"/>
          <w:szCs w:val="24"/>
        </w:rPr>
      </w:pPr>
      <w:r w:rsidRPr="008675EF">
        <w:rPr>
          <w:rFonts w:ascii="Times New Roman" w:hAnsi="Times New Roman" w:cs="Times New Roman"/>
          <w:b/>
          <w:sz w:val="24"/>
          <w:szCs w:val="24"/>
        </w:rPr>
        <w:lastRenderedPageBreak/>
        <w:t>References</w:t>
      </w:r>
    </w:p>
    <w:p w:rsidR="008675EF" w:rsidRPr="008675EF" w:rsidRDefault="008675EF" w:rsidP="008675EF">
      <w:pPr>
        <w:spacing w:line="480" w:lineRule="auto"/>
        <w:ind w:left="720" w:hanging="720"/>
        <w:rPr>
          <w:rFonts w:ascii="Times New Roman" w:hAnsi="Times New Roman" w:cs="Times New Roman"/>
          <w:sz w:val="24"/>
          <w:szCs w:val="24"/>
        </w:rPr>
      </w:pPr>
      <w:r w:rsidRPr="008675EF">
        <w:rPr>
          <w:rFonts w:ascii="Times New Roman" w:hAnsi="Times New Roman" w:cs="Times New Roman"/>
          <w:sz w:val="24"/>
          <w:szCs w:val="24"/>
        </w:rPr>
        <w:t>Lawson, K. M., Crouter, A. C., &amp; McHal</w:t>
      </w:r>
      <w:bookmarkStart w:id="0" w:name="_GoBack"/>
      <w:bookmarkEnd w:id="0"/>
      <w:r w:rsidRPr="008675EF">
        <w:rPr>
          <w:rFonts w:ascii="Times New Roman" w:hAnsi="Times New Roman" w:cs="Times New Roman"/>
          <w:sz w:val="24"/>
          <w:szCs w:val="24"/>
        </w:rPr>
        <w:t>e, S. M. (2015). Links between family gender socialization experiences in childhood and gendered occupational attainment in young adulthood. </w:t>
      </w:r>
      <w:r w:rsidRPr="008675EF">
        <w:rPr>
          <w:rFonts w:ascii="Times New Roman" w:hAnsi="Times New Roman" w:cs="Times New Roman"/>
          <w:i/>
          <w:iCs/>
          <w:sz w:val="24"/>
          <w:szCs w:val="24"/>
        </w:rPr>
        <w:t>Journal of vocational behavior</w:t>
      </w:r>
      <w:r w:rsidRPr="008675EF">
        <w:rPr>
          <w:rFonts w:ascii="Times New Roman" w:hAnsi="Times New Roman" w:cs="Times New Roman"/>
          <w:sz w:val="24"/>
          <w:szCs w:val="24"/>
        </w:rPr>
        <w:t>, </w:t>
      </w:r>
      <w:r w:rsidRPr="008675EF">
        <w:rPr>
          <w:rFonts w:ascii="Times New Roman" w:hAnsi="Times New Roman" w:cs="Times New Roman"/>
          <w:i/>
          <w:iCs/>
          <w:sz w:val="24"/>
          <w:szCs w:val="24"/>
        </w:rPr>
        <w:t>90</w:t>
      </w:r>
      <w:r w:rsidRPr="008675EF">
        <w:rPr>
          <w:rFonts w:ascii="Times New Roman" w:hAnsi="Times New Roman" w:cs="Times New Roman"/>
          <w:sz w:val="24"/>
          <w:szCs w:val="24"/>
        </w:rPr>
        <w:t>, 26-35.</w:t>
      </w:r>
    </w:p>
    <w:p w:rsidR="008675EF" w:rsidRDefault="008675EF" w:rsidP="008675EF">
      <w:pPr>
        <w:spacing w:line="480" w:lineRule="auto"/>
        <w:ind w:left="720" w:hanging="720"/>
        <w:rPr>
          <w:rFonts w:ascii="Times New Roman" w:hAnsi="Times New Roman" w:cs="Times New Roman"/>
          <w:sz w:val="24"/>
          <w:szCs w:val="24"/>
        </w:rPr>
      </w:pPr>
      <w:r w:rsidRPr="008675EF">
        <w:rPr>
          <w:rFonts w:ascii="Times New Roman" w:hAnsi="Times New Roman" w:cs="Times New Roman"/>
          <w:sz w:val="24"/>
          <w:szCs w:val="24"/>
        </w:rPr>
        <w:t>Merla, L. (2019). Rethinking Family Socialization and Gender in Joint Custody Arrangements. In </w:t>
      </w:r>
      <w:r w:rsidRPr="008675EF">
        <w:rPr>
          <w:rFonts w:ascii="Times New Roman" w:hAnsi="Times New Roman" w:cs="Times New Roman"/>
          <w:i/>
          <w:iCs/>
          <w:sz w:val="24"/>
          <w:szCs w:val="24"/>
        </w:rPr>
        <w:t>Marie Jahoda Summer School of Sociology</w:t>
      </w:r>
      <w:r w:rsidRPr="008675EF">
        <w:rPr>
          <w:rFonts w:ascii="Times New Roman" w:hAnsi="Times New Roman" w:cs="Times New Roman"/>
          <w:sz w:val="24"/>
          <w:szCs w:val="24"/>
        </w:rPr>
        <w:t>.</w:t>
      </w:r>
    </w:p>
    <w:p w:rsidR="008675EF" w:rsidRDefault="008675EF" w:rsidP="008675EF">
      <w:pPr>
        <w:spacing w:line="480" w:lineRule="auto"/>
        <w:ind w:left="720" w:hanging="720"/>
        <w:rPr>
          <w:rFonts w:ascii="Times New Roman" w:hAnsi="Times New Roman" w:cs="Times New Roman"/>
          <w:color w:val="222222"/>
          <w:sz w:val="24"/>
          <w:szCs w:val="24"/>
          <w:shd w:val="clear" w:color="auto" w:fill="FFFFFF"/>
        </w:rPr>
      </w:pPr>
      <w:r w:rsidRPr="002020BA">
        <w:rPr>
          <w:rFonts w:ascii="Times New Roman" w:hAnsi="Times New Roman" w:cs="Times New Roman"/>
          <w:color w:val="222222"/>
          <w:sz w:val="24"/>
          <w:szCs w:val="24"/>
          <w:shd w:val="clear" w:color="auto" w:fill="FFFFFF"/>
        </w:rPr>
        <w:t>Philips, R. R. (2017). The Battle Over Bathrooms: Schools, Courts, and Transgender Rights. </w:t>
      </w:r>
      <w:r w:rsidRPr="002020BA">
        <w:rPr>
          <w:rFonts w:ascii="Times New Roman" w:hAnsi="Times New Roman" w:cs="Times New Roman"/>
          <w:i/>
          <w:iCs/>
          <w:color w:val="222222"/>
          <w:sz w:val="24"/>
          <w:szCs w:val="24"/>
          <w:shd w:val="clear" w:color="auto" w:fill="FFFFFF"/>
        </w:rPr>
        <w:t>Theory in Action</w:t>
      </w:r>
      <w:r w:rsidRPr="002020BA">
        <w:rPr>
          <w:rFonts w:ascii="Times New Roman" w:hAnsi="Times New Roman" w:cs="Times New Roman"/>
          <w:color w:val="222222"/>
          <w:sz w:val="24"/>
          <w:szCs w:val="24"/>
          <w:shd w:val="clear" w:color="auto" w:fill="FFFFFF"/>
        </w:rPr>
        <w:t>, </w:t>
      </w:r>
      <w:r w:rsidRPr="002020BA">
        <w:rPr>
          <w:rFonts w:ascii="Times New Roman" w:hAnsi="Times New Roman" w:cs="Times New Roman"/>
          <w:i/>
          <w:iCs/>
          <w:color w:val="222222"/>
          <w:sz w:val="24"/>
          <w:szCs w:val="24"/>
          <w:shd w:val="clear" w:color="auto" w:fill="FFFFFF"/>
        </w:rPr>
        <w:t>10</w:t>
      </w:r>
      <w:r w:rsidRPr="002020BA">
        <w:rPr>
          <w:rFonts w:ascii="Times New Roman" w:hAnsi="Times New Roman" w:cs="Times New Roman"/>
          <w:color w:val="222222"/>
          <w:sz w:val="24"/>
          <w:szCs w:val="24"/>
          <w:shd w:val="clear" w:color="auto" w:fill="FFFFFF"/>
        </w:rPr>
        <w:t>(4), 100-117.</w:t>
      </w:r>
    </w:p>
    <w:p w:rsidR="008675EF" w:rsidRDefault="008675EF" w:rsidP="008675EF">
      <w:pPr>
        <w:spacing w:line="480" w:lineRule="auto"/>
        <w:ind w:left="720" w:hanging="720"/>
        <w:rPr>
          <w:rFonts w:ascii="Times New Roman" w:hAnsi="Times New Roman" w:cs="Times New Roman"/>
          <w:sz w:val="24"/>
          <w:szCs w:val="24"/>
        </w:rPr>
      </w:pPr>
      <w:r w:rsidRPr="008675EF">
        <w:rPr>
          <w:rFonts w:ascii="Times New Roman" w:hAnsi="Times New Roman" w:cs="Times New Roman"/>
          <w:sz w:val="24"/>
          <w:szCs w:val="24"/>
        </w:rPr>
        <w:t>Porta, C. M., Gower, A. L., Mehus, C. J., Yu, X., Saewyc, E. M., &amp; Eisenberg, M. E. (2017). “Kicked out”: LGBTQ youths' bathroom experiences and preferences. </w:t>
      </w:r>
      <w:r w:rsidRPr="008675EF">
        <w:rPr>
          <w:rFonts w:ascii="Times New Roman" w:hAnsi="Times New Roman" w:cs="Times New Roman"/>
          <w:i/>
          <w:iCs/>
          <w:sz w:val="24"/>
          <w:szCs w:val="24"/>
        </w:rPr>
        <w:t>Journal of adolescence</w:t>
      </w:r>
      <w:r w:rsidRPr="008675EF">
        <w:rPr>
          <w:rFonts w:ascii="Times New Roman" w:hAnsi="Times New Roman" w:cs="Times New Roman"/>
          <w:sz w:val="24"/>
          <w:szCs w:val="24"/>
        </w:rPr>
        <w:t>, </w:t>
      </w:r>
      <w:r w:rsidRPr="008675EF">
        <w:rPr>
          <w:rFonts w:ascii="Times New Roman" w:hAnsi="Times New Roman" w:cs="Times New Roman"/>
          <w:i/>
          <w:iCs/>
          <w:sz w:val="24"/>
          <w:szCs w:val="24"/>
        </w:rPr>
        <w:t>56</w:t>
      </w:r>
      <w:r w:rsidRPr="008675EF">
        <w:rPr>
          <w:rFonts w:ascii="Times New Roman" w:hAnsi="Times New Roman" w:cs="Times New Roman"/>
          <w:sz w:val="24"/>
          <w:szCs w:val="24"/>
        </w:rPr>
        <w:t>, 107-112.</w:t>
      </w:r>
    </w:p>
    <w:sectPr w:rsidR="008675EF" w:rsidSect="007F05A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93293" w:rsidRDefault="00B93293" w:rsidP="00705B5A">
      <w:pPr>
        <w:spacing w:after="0" w:line="240" w:lineRule="auto"/>
      </w:pPr>
      <w:r>
        <w:separator/>
      </w:r>
    </w:p>
  </w:endnote>
  <w:endnote w:type="continuationSeparator" w:id="0">
    <w:p w:rsidR="00B93293" w:rsidRDefault="00B93293" w:rsidP="00705B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93293" w:rsidRDefault="00B93293" w:rsidP="00705B5A">
      <w:pPr>
        <w:spacing w:after="0" w:line="240" w:lineRule="auto"/>
      </w:pPr>
      <w:r>
        <w:separator/>
      </w:r>
    </w:p>
  </w:footnote>
  <w:footnote w:type="continuationSeparator" w:id="0">
    <w:p w:rsidR="00B93293" w:rsidRDefault="00B93293" w:rsidP="00705B5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05A5" w:rsidRDefault="008675EF">
    <w:pPr>
      <w:pStyle w:val="Header"/>
      <w:jc w:val="right"/>
    </w:pPr>
    <w:r w:rsidRPr="008675EF">
      <w:rPr>
        <w:rFonts w:ascii="Times New Roman" w:hAnsi="Times New Roman" w:cs="Times New Roman"/>
        <w:sz w:val="24"/>
        <w:szCs w:val="24"/>
      </w:rPr>
      <w:t>GENDER SOCIALIZATION</w:t>
    </w:r>
    <w:r w:rsidR="0079531A">
      <w:t xml:space="preserve"> </w:t>
    </w:r>
    <w:r w:rsidR="0079531A">
      <w:tab/>
    </w:r>
    <w:r w:rsidR="0079531A">
      <w:tab/>
    </w:r>
    <w:r w:rsidR="0079531A" w:rsidRPr="007F05A5">
      <w:rPr>
        <w:rFonts w:ascii="Times New Roman" w:hAnsi="Times New Roman" w:cs="Times New Roman"/>
        <w:sz w:val="24"/>
        <w:szCs w:val="24"/>
      </w:rPr>
      <w:fldChar w:fldCharType="begin"/>
    </w:r>
    <w:r w:rsidR="0079531A" w:rsidRPr="007F05A5">
      <w:rPr>
        <w:rFonts w:ascii="Times New Roman" w:hAnsi="Times New Roman" w:cs="Times New Roman"/>
        <w:sz w:val="24"/>
        <w:szCs w:val="24"/>
      </w:rPr>
      <w:instrText xml:space="preserve"> PAGE   \* MERGEFORMAT </w:instrText>
    </w:r>
    <w:r w:rsidR="0079531A" w:rsidRPr="007F05A5">
      <w:rPr>
        <w:rFonts w:ascii="Times New Roman" w:hAnsi="Times New Roman" w:cs="Times New Roman"/>
        <w:sz w:val="24"/>
        <w:szCs w:val="24"/>
      </w:rPr>
      <w:fldChar w:fldCharType="separate"/>
    </w:r>
    <w:r>
      <w:rPr>
        <w:rFonts w:ascii="Times New Roman" w:hAnsi="Times New Roman" w:cs="Times New Roman"/>
        <w:noProof/>
        <w:sz w:val="24"/>
        <w:szCs w:val="24"/>
      </w:rPr>
      <w:t>4</w:t>
    </w:r>
    <w:r w:rsidR="0079531A" w:rsidRPr="007F05A5">
      <w:rPr>
        <w:rFonts w:ascii="Times New Roman" w:hAnsi="Times New Roman" w:cs="Times New Roman"/>
        <w:noProof/>
        <w:sz w:val="24"/>
        <w:szCs w:val="24"/>
      </w:rPr>
      <w:fldChar w:fldCharType="end"/>
    </w:r>
  </w:p>
  <w:p w:rsidR="007F05A5" w:rsidRDefault="00B9329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05A5" w:rsidRDefault="0079531A">
    <w:pPr>
      <w:pStyle w:val="Header"/>
      <w:jc w:val="right"/>
    </w:pPr>
    <w:r>
      <w:rPr>
        <w:rFonts w:ascii="Times New Roman" w:hAnsi="Times New Roman" w:cs="Times New Roman"/>
        <w:sz w:val="24"/>
        <w:szCs w:val="24"/>
      </w:rPr>
      <w:t xml:space="preserve">Running head: </w:t>
    </w:r>
    <w:r w:rsidR="008675EF" w:rsidRPr="008675EF">
      <w:rPr>
        <w:rFonts w:ascii="Times New Roman" w:hAnsi="Times New Roman" w:cs="Times New Roman"/>
        <w:sz w:val="24"/>
        <w:szCs w:val="24"/>
      </w:rPr>
      <w:t>GENDER SOCIALIZATION</w:t>
    </w:r>
    <w:r>
      <w:t xml:space="preserve"> </w:t>
    </w:r>
    <w:r>
      <w:tab/>
    </w:r>
    <w:r>
      <w:tab/>
    </w:r>
    <w:r w:rsidRPr="007F05A5">
      <w:rPr>
        <w:rFonts w:ascii="Times New Roman" w:hAnsi="Times New Roman" w:cs="Times New Roman"/>
        <w:sz w:val="24"/>
        <w:szCs w:val="24"/>
      </w:rPr>
      <w:fldChar w:fldCharType="begin"/>
    </w:r>
    <w:r w:rsidRPr="007F05A5">
      <w:rPr>
        <w:rFonts w:ascii="Times New Roman" w:hAnsi="Times New Roman" w:cs="Times New Roman"/>
        <w:sz w:val="24"/>
        <w:szCs w:val="24"/>
      </w:rPr>
      <w:instrText xml:space="preserve"> PAGE   \* MERGEFORMAT </w:instrText>
    </w:r>
    <w:r w:rsidRPr="007F05A5">
      <w:rPr>
        <w:rFonts w:ascii="Times New Roman" w:hAnsi="Times New Roman" w:cs="Times New Roman"/>
        <w:sz w:val="24"/>
        <w:szCs w:val="24"/>
      </w:rPr>
      <w:fldChar w:fldCharType="separate"/>
    </w:r>
    <w:r w:rsidR="008675EF">
      <w:rPr>
        <w:rFonts w:ascii="Times New Roman" w:hAnsi="Times New Roman" w:cs="Times New Roman"/>
        <w:noProof/>
        <w:sz w:val="24"/>
        <w:szCs w:val="24"/>
      </w:rPr>
      <w:t>1</w:t>
    </w:r>
    <w:r w:rsidRPr="007F05A5">
      <w:rPr>
        <w:rFonts w:ascii="Times New Roman" w:hAnsi="Times New Roman" w:cs="Times New Roman"/>
        <w:noProof/>
        <w:sz w:val="24"/>
        <w:szCs w:val="24"/>
      </w:rPr>
      <w:fldChar w:fldCharType="end"/>
    </w:r>
  </w:p>
  <w:p w:rsidR="007F05A5" w:rsidRDefault="00B9329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5B5A"/>
    <w:rsid w:val="002709CB"/>
    <w:rsid w:val="0037690A"/>
    <w:rsid w:val="0046205E"/>
    <w:rsid w:val="005345EF"/>
    <w:rsid w:val="00616A28"/>
    <w:rsid w:val="00705B5A"/>
    <w:rsid w:val="0079531A"/>
    <w:rsid w:val="00816412"/>
    <w:rsid w:val="008675EF"/>
    <w:rsid w:val="0098364E"/>
    <w:rsid w:val="00B93293"/>
    <w:rsid w:val="00FA64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D98678B-79C7-46D6-AC3F-41D925654E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5B5A"/>
    <w:pPr>
      <w:tabs>
        <w:tab w:val="center" w:pos="4680"/>
        <w:tab w:val="right" w:pos="9360"/>
      </w:tabs>
      <w:spacing w:after="0" w:line="240" w:lineRule="auto"/>
    </w:pPr>
    <w:rPr>
      <w:rFonts w:ascii="Calibri" w:eastAsia="Calibri" w:hAnsi="Calibri" w:cs="Arial"/>
    </w:rPr>
  </w:style>
  <w:style w:type="character" w:customStyle="1" w:styleId="HeaderChar">
    <w:name w:val="Header Char"/>
    <w:basedOn w:val="DefaultParagraphFont"/>
    <w:link w:val="Header"/>
    <w:uiPriority w:val="99"/>
    <w:rsid w:val="00705B5A"/>
    <w:rPr>
      <w:rFonts w:ascii="Calibri" w:eastAsia="Calibri" w:hAnsi="Calibri" w:cs="Arial"/>
    </w:rPr>
  </w:style>
  <w:style w:type="paragraph" w:styleId="Footer">
    <w:name w:val="footer"/>
    <w:basedOn w:val="Normal"/>
    <w:link w:val="FooterChar"/>
    <w:uiPriority w:val="99"/>
    <w:unhideWhenUsed/>
    <w:rsid w:val="00705B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5B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669</Words>
  <Characters>3816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2019-10-02T19:01:00Z</dcterms:created>
  <dcterms:modified xsi:type="dcterms:W3CDTF">2019-10-02T19:01:00Z</dcterms:modified>
</cp:coreProperties>
</file>